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SCENARIO FOR EDUCATIONAL CLASSES</w:t>
      </w:r>
    </w:p>
    <w:p w:rsidR="00000000" w:rsidDel="00000000" w:rsidP="00000000" w:rsidRDefault="00000000" w:rsidRPr="00000000" w14:paraId="00000002">
      <w:pPr>
        <w:rPr>
          <w:b w:val="1"/>
        </w:rPr>
      </w:pPr>
      <w:r w:rsidDel="00000000" w:rsidR="00000000" w:rsidRPr="00000000">
        <w:rPr>
          <w:b w:val="1"/>
          <w:rtl w:val="0"/>
        </w:rPr>
        <w:t xml:space="preserve">PART 1. OF SCENARIO</w:t>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7"/>
        <w:gridCol w:w="7225"/>
        <w:tblGridChange w:id="0">
          <w:tblGrid>
            <w:gridCol w:w="1837"/>
            <w:gridCol w:w="7225"/>
          </w:tblGrid>
        </w:tblGridChange>
      </w:tblGrid>
      <w:tr>
        <w:trPr>
          <w:cantSplit w:val="0"/>
          <w:tblHeader w:val="0"/>
        </w:trPr>
        <w:tc>
          <w:tcPr>
            <w:shd w:fill="d9d9d9" w:val="clear"/>
          </w:tcPr>
          <w:p w:rsidR="00000000" w:rsidDel="00000000" w:rsidP="00000000" w:rsidRDefault="00000000" w:rsidRPr="00000000" w14:paraId="00000003">
            <w:pPr>
              <w:rPr>
                <w:b w:val="1"/>
              </w:rPr>
            </w:pPr>
            <w:r w:rsidDel="00000000" w:rsidR="00000000" w:rsidRPr="00000000">
              <w:rPr>
                <w:b w:val="1"/>
                <w:rtl w:val="0"/>
              </w:rPr>
              <w:t xml:space="preserve">SUBJECT OF CLASSES</w:t>
            </w:r>
          </w:p>
        </w:tc>
        <w:tc>
          <w:tcPr/>
          <w:p w:rsidR="00000000" w:rsidDel="00000000" w:rsidP="00000000" w:rsidRDefault="00000000" w:rsidRPr="00000000" w14:paraId="00000004">
            <w:pPr>
              <w:rPr>
                <w:i w:val="1"/>
              </w:rPr>
            </w:pPr>
            <w:r w:rsidDel="00000000" w:rsidR="00000000" w:rsidRPr="00000000">
              <w:rPr>
                <w:i w:val="1"/>
                <w:rtl w:val="0"/>
              </w:rPr>
              <w:t xml:space="preserve">Gender Inequality</w:t>
            </w:r>
          </w:p>
        </w:tc>
      </w:tr>
      <w:tr>
        <w:trPr>
          <w:cantSplit w:val="0"/>
          <w:tblHeader w:val="0"/>
        </w:trPr>
        <w:tc>
          <w:tcPr>
            <w:shd w:fill="d9d9d9" w:val="clear"/>
          </w:tcPr>
          <w:p w:rsidR="00000000" w:rsidDel="00000000" w:rsidP="00000000" w:rsidRDefault="00000000" w:rsidRPr="00000000" w14:paraId="00000005">
            <w:pPr>
              <w:rPr>
                <w:b w:val="1"/>
              </w:rPr>
            </w:pPr>
            <w:r w:rsidDel="00000000" w:rsidR="00000000" w:rsidRPr="00000000">
              <w:rPr>
                <w:b w:val="1"/>
                <w:rtl w:val="0"/>
              </w:rPr>
              <w:t xml:space="preserve">TOPIC</w:t>
            </w:r>
          </w:p>
        </w:tc>
        <w:tc>
          <w:tcPr/>
          <w:p w:rsidR="00000000" w:rsidDel="00000000" w:rsidP="00000000" w:rsidRDefault="00000000" w:rsidRPr="00000000" w14:paraId="00000006">
            <w:pPr>
              <w:rPr>
                <w:i w:val="1"/>
              </w:rPr>
            </w:pPr>
            <w:r w:rsidDel="00000000" w:rsidR="00000000" w:rsidRPr="00000000">
              <w:rPr>
                <w:i w:val="1"/>
                <w:rtl w:val="0"/>
              </w:rPr>
              <w:t xml:space="preserve">Inequality around the menstruation</w:t>
            </w:r>
          </w:p>
          <w:p w:rsidR="00000000" w:rsidDel="00000000" w:rsidP="00000000" w:rsidRDefault="00000000" w:rsidRPr="00000000" w14:paraId="00000007">
            <w:pPr>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08">
            <w:pPr>
              <w:rPr>
                <w:b w:val="1"/>
              </w:rPr>
            </w:pPr>
            <w:r w:rsidDel="00000000" w:rsidR="00000000" w:rsidRPr="00000000">
              <w:rPr>
                <w:b w:val="1"/>
                <w:rtl w:val="0"/>
              </w:rPr>
              <w:t xml:space="preserve">DURATION OF CLASSES</w:t>
            </w:r>
          </w:p>
        </w:tc>
        <w:tc>
          <w:tcPr/>
          <w:p w:rsidR="00000000" w:rsidDel="00000000" w:rsidP="00000000" w:rsidRDefault="00000000" w:rsidRPr="00000000" w14:paraId="00000009">
            <w:pPr>
              <w:rPr>
                <w:i w:val="1"/>
              </w:rPr>
            </w:pPr>
            <w:r w:rsidDel="00000000" w:rsidR="00000000" w:rsidRPr="00000000">
              <w:rPr>
                <w:i w:val="1"/>
                <w:rtl w:val="0"/>
              </w:rPr>
              <w:t xml:space="preserve">1,5 h</w:t>
            </w:r>
          </w:p>
        </w:tc>
      </w:tr>
      <w:tr>
        <w:trPr>
          <w:cantSplit w:val="0"/>
          <w:tblHeader w:val="0"/>
        </w:trPr>
        <w:tc>
          <w:tcPr>
            <w:shd w:fill="d9d9d9" w:val="clear"/>
          </w:tcPr>
          <w:p w:rsidR="00000000" w:rsidDel="00000000" w:rsidP="00000000" w:rsidRDefault="00000000" w:rsidRPr="00000000" w14:paraId="0000000A">
            <w:pPr>
              <w:rPr>
                <w:b w:val="1"/>
              </w:rPr>
            </w:pPr>
            <w:r w:rsidDel="00000000" w:rsidR="00000000" w:rsidRPr="00000000">
              <w:rPr>
                <w:b w:val="1"/>
                <w:rtl w:val="0"/>
              </w:rPr>
              <w:t xml:space="preserve">MODE</w:t>
            </w:r>
          </w:p>
        </w:tc>
        <w:tc>
          <w:tcPr/>
          <w:p w:rsidR="00000000" w:rsidDel="00000000" w:rsidP="00000000" w:rsidRDefault="00000000" w:rsidRPr="00000000" w14:paraId="0000000B">
            <w:pPr>
              <w:rPr>
                <w:i w:val="1"/>
              </w:rPr>
            </w:pPr>
            <w:r w:rsidDel="00000000" w:rsidR="00000000" w:rsidRPr="00000000">
              <w:rPr>
                <w:i w:val="1"/>
                <w:rtl w:val="0"/>
              </w:rPr>
              <w:t xml:space="preserve">Online, synchronous</w:t>
            </w:r>
          </w:p>
          <w:p w:rsidR="00000000" w:rsidDel="00000000" w:rsidP="00000000" w:rsidRDefault="00000000" w:rsidRPr="00000000" w14:paraId="0000000C">
            <w:pPr>
              <w:rPr>
                <w:i w:val="1"/>
              </w:rPr>
            </w:pPr>
            <w:r w:rsidDel="00000000" w:rsidR="00000000" w:rsidRPr="00000000">
              <w:rPr>
                <w:rtl w:val="0"/>
              </w:rPr>
            </w:r>
          </w:p>
        </w:tc>
      </w:tr>
    </w:tbl>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PART 2. OF SCENARIO</w:t>
      </w:r>
    </w:p>
    <w:tbl>
      <w:tblPr>
        <w:tblStyle w:val="Table2"/>
        <w:tblW w:w="91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97"/>
        <w:gridCol w:w="7144"/>
        <w:tblGridChange w:id="0">
          <w:tblGrid>
            <w:gridCol w:w="1997"/>
            <w:gridCol w:w="7144"/>
          </w:tblGrid>
        </w:tblGridChange>
      </w:tblGrid>
      <w:tr>
        <w:trPr>
          <w:cantSplit w:val="0"/>
          <w:trHeight w:val="915" w:hRule="atLeast"/>
          <w:tblHeader w:val="0"/>
        </w:trPr>
        <w:tc>
          <w:tcPr>
            <w:shd w:fill="d9d9d9" w:val="clear"/>
            <w:vAlign w:val="center"/>
          </w:tcPr>
          <w:p w:rsidR="00000000" w:rsidDel="00000000" w:rsidP="00000000" w:rsidRDefault="00000000" w:rsidRPr="00000000" w14:paraId="0000000F">
            <w:pPr>
              <w:rPr>
                <w:b w:val="1"/>
              </w:rPr>
            </w:pPr>
            <w:r w:rsidDel="00000000" w:rsidR="00000000" w:rsidRPr="00000000">
              <w:rPr>
                <w:b w:val="1"/>
                <w:rtl w:val="0"/>
              </w:rPr>
              <w:t xml:space="preserve">THE AIM OF THE CLASSES</w:t>
            </w:r>
          </w:p>
        </w:tc>
        <w:tc>
          <w:tcPr>
            <w:shd w:fill="d9d9d9" w:val="clear"/>
            <w:vAlign w:val="center"/>
          </w:tcPr>
          <w:p w:rsidR="00000000" w:rsidDel="00000000" w:rsidP="00000000" w:rsidRDefault="00000000" w:rsidRPr="00000000" w14:paraId="00000010">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to introduce the problem of menstrual health</w:t>
            </w:r>
          </w:p>
          <w:p w:rsidR="00000000" w:rsidDel="00000000" w:rsidP="00000000" w:rsidRDefault="00000000" w:rsidRPr="00000000" w14:paraId="00000011">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to explain the importance of equal treatment of menstruators</w:t>
            </w:r>
          </w:p>
          <w:p w:rsidR="00000000" w:rsidDel="00000000" w:rsidP="00000000" w:rsidRDefault="00000000" w:rsidRPr="00000000" w14:paraId="00000012">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to make students aware of the boundaries the menstruators feel during menstruation</w:t>
            </w:r>
          </w:p>
          <w:p w:rsidR="00000000" w:rsidDel="00000000" w:rsidP="00000000" w:rsidRDefault="00000000" w:rsidRPr="00000000" w14:paraId="00000013">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to familiarize students with the concept of menstrual health </w:t>
            </w:r>
          </w:p>
          <w:p w:rsidR="00000000" w:rsidDel="00000000" w:rsidP="00000000" w:rsidRDefault="00000000" w:rsidRPr="00000000" w14:paraId="00000014">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to eliminate social stigmas surrounding menstruation </w:t>
            </w:r>
          </w:p>
        </w:tc>
      </w:tr>
      <w:tr>
        <w:trPr>
          <w:cantSplit w:val="0"/>
          <w:trHeight w:val="985" w:hRule="atLeast"/>
          <w:tblHeader w:val="0"/>
        </w:trPr>
        <w:tc>
          <w:tcPr>
            <w:shd w:fill="d9d9d9" w:val="clear"/>
            <w:vAlign w:val="center"/>
          </w:tcPr>
          <w:p w:rsidR="00000000" w:rsidDel="00000000" w:rsidP="00000000" w:rsidRDefault="00000000" w:rsidRPr="00000000" w14:paraId="00000015">
            <w:pPr>
              <w:rPr>
                <w:b w:val="1"/>
              </w:rPr>
            </w:pPr>
            <w:r w:rsidDel="00000000" w:rsidR="00000000" w:rsidRPr="00000000">
              <w:rPr>
                <w:b w:val="1"/>
                <w:rtl w:val="0"/>
              </w:rPr>
              <w:t xml:space="preserve">LEARNING OUTCOMES</w:t>
            </w:r>
          </w:p>
        </w:tc>
        <w:tc>
          <w:tcPr>
            <w:shd w:fill="d9d9d9" w:val="clear"/>
            <w:vAlign w:val="center"/>
          </w:tcPr>
          <w:p w:rsidR="00000000" w:rsidDel="00000000" w:rsidP="00000000" w:rsidRDefault="00000000" w:rsidRPr="00000000" w14:paraId="00000016">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students can talk about their knowledge about menstruation</w:t>
            </w:r>
          </w:p>
          <w:p w:rsidR="00000000" w:rsidDel="00000000" w:rsidP="00000000" w:rsidRDefault="00000000" w:rsidRPr="00000000" w14:paraId="00000017">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students are able to define basic elements of menstrual health</w:t>
            </w:r>
          </w:p>
          <w:p w:rsidR="00000000" w:rsidDel="00000000" w:rsidP="00000000" w:rsidRDefault="00000000" w:rsidRPr="00000000" w14:paraId="00000018">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students are able to control their relationship with menstruation</w:t>
            </w:r>
          </w:p>
          <w:p w:rsidR="00000000" w:rsidDel="00000000" w:rsidP="00000000" w:rsidRDefault="00000000" w:rsidRPr="00000000" w14:paraId="00000019">
            <w:pPr>
              <w:numPr>
                <w:ilvl w:val="0"/>
                <w:numId w:val="6"/>
              </w:numPr>
              <w:pBdr>
                <w:top w:space="0" w:sz="0" w:val="nil"/>
                <w:left w:space="0" w:sz="0" w:val="nil"/>
                <w:bottom w:space="0" w:sz="0" w:val="nil"/>
                <w:right w:space="0" w:sz="0" w:val="nil"/>
                <w:between w:space="0" w:sz="0" w:val="nil"/>
              </w:pBdr>
              <w:ind w:left="720" w:hanging="360"/>
              <w:rPr>
                <w:i w:val="1"/>
                <w:color w:val="000000"/>
              </w:rPr>
            </w:pPr>
            <w:r w:rsidDel="00000000" w:rsidR="00000000" w:rsidRPr="00000000">
              <w:rPr>
                <w:i w:val="1"/>
                <w:color w:val="000000"/>
                <w:rtl w:val="0"/>
              </w:rPr>
              <w:t xml:space="preserve">students can learn to adequately support menstruating persons</w:t>
            </w:r>
          </w:p>
          <w:p w:rsidR="00000000" w:rsidDel="00000000" w:rsidP="00000000" w:rsidRDefault="00000000" w:rsidRPr="00000000" w14:paraId="0000001A">
            <w:pPr>
              <w:rPr>
                <w:highlight w:val="yellow"/>
              </w:rPr>
            </w:pPr>
            <w:r w:rsidDel="00000000" w:rsidR="00000000" w:rsidRPr="00000000">
              <w:rPr>
                <w:rtl w:val="0"/>
              </w:rPr>
            </w:r>
          </w:p>
        </w:tc>
      </w:tr>
      <w:tr>
        <w:trPr>
          <w:cantSplit w:val="0"/>
          <w:trHeight w:val="700" w:hRule="atLeast"/>
          <w:tblHeader w:val="0"/>
        </w:trPr>
        <w:tc>
          <w:tcPr>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SUGGESTED TOOLS </w:t>
            </w:r>
          </w:p>
        </w:tc>
        <w:tc>
          <w:tcP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MS Teams (general meeting channel and break out rooms), Google Slides, Padlet, Mentimeter, LearningApps</w:t>
            </w:r>
          </w:p>
        </w:tc>
      </w:tr>
      <w:tr>
        <w:trPr>
          <w:cantSplit w:val="0"/>
          <w:trHeight w:val="700" w:hRule="atLeast"/>
          <w:tblHeader w:val="0"/>
        </w:trPr>
        <w:tc>
          <w:tcPr>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TIPS / METHODOLOGICAL REMARKS</w:t>
            </w:r>
          </w:p>
        </w:tc>
        <w:tc>
          <w:tcPr>
            <w:vAlign w:val="center"/>
          </w:tcPr>
          <w:p w:rsidR="00000000" w:rsidDel="00000000" w:rsidP="00000000" w:rsidRDefault="00000000" w:rsidRPr="00000000" w14:paraId="0000001E">
            <w:pPr>
              <w:numPr>
                <w:ilvl w:val="0"/>
                <w:numId w:val="3"/>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As a first step, we ask the students to discuss what they know about menstruation and its physical conditions. Many misconceptions will certainly arise, which we will clear up based on appropriate information. The teacher has to be avare the biological bases of the menstruation.</w:t>
            </w:r>
          </w:p>
          <w:p w:rsidR="00000000" w:rsidDel="00000000" w:rsidP="00000000" w:rsidRDefault="00000000" w:rsidRPr="00000000" w14:paraId="0000001F">
            <w:pPr>
              <w:numPr>
                <w:ilvl w:val="0"/>
                <w:numId w:val="3"/>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The modern literature uses the word “menstruator” to avoid gender-based problems. This should also be taken into account when developing the conversation.</w:t>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PART 3. OF SCENARIO</w:t>
      </w:r>
    </w:p>
    <w:tbl>
      <w:tblPr>
        <w:tblStyle w:val="Table3"/>
        <w:tblW w:w="91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53"/>
        <w:gridCol w:w="1969"/>
        <w:gridCol w:w="5319"/>
        <w:tblGridChange w:id="0">
          <w:tblGrid>
            <w:gridCol w:w="1853"/>
            <w:gridCol w:w="1969"/>
            <w:gridCol w:w="5319"/>
          </w:tblGrid>
        </w:tblGridChange>
      </w:tblGrid>
      <w:tr>
        <w:trPr>
          <w:cantSplit w:val="0"/>
          <w:trHeight w:val="700" w:hRule="atLeast"/>
          <w:tblHeader w:val="0"/>
        </w:trPr>
        <w:tc>
          <w:tcPr>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LEARNING CONTENT - DETAILED CHARACTERISTICS</w:t>
            </w:r>
          </w:p>
        </w:tc>
        <w:tc>
          <w:tcPr>
            <w:gridSpan w:val="2"/>
            <w:vAlign w:val="center"/>
          </w:tcPr>
          <w:p w:rsidR="00000000" w:rsidDel="00000000" w:rsidP="00000000" w:rsidRDefault="00000000" w:rsidRPr="00000000" w14:paraId="00000023">
            <w:pPr>
              <w:jc w:val="both"/>
              <w:rPr>
                <w:color w:val="000000"/>
              </w:rPr>
            </w:pPr>
            <w:r w:rsidDel="00000000" w:rsidR="00000000" w:rsidRPr="00000000">
              <w:rPr>
                <w:color w:val="000000"/>
                <w:rtl w:val="0"/>
              </w:rPr>
              <w:t xml:space="preserve">“Menstrual Health was not on the agenda of the International Conference on the Population and Development or the Millennium Declaration. Nor it is explicitly stated in the Sustainable Development Goals targets for goals 3 (health), 5 (gender equality) or 6 (water and sanitation). However, it has been placed on the global health, education, human rights, and gender equality/equity agendas by grass-roots workers and activists from the global South, drawing attention to reports of women’s and girls’ experiences of shame and embarrassment, and the barriers they face in managing their period because they do not have the means to do so, with consequences for their life opportunities including their rights to education, work, water and sanitation, non-discrimination and gender equality – and ultimately to health. WHO salutes the grass-roots workers and activists, notably those from the global South, who have doggedly championed menstrual health, and welcomes the inclusion of Menstrual Health in the Human Rights Council agenda.” (WHO) </w:t>
            </w:r>
          </w:p>
          <w:p w:rsidR="00000000" w:rsidDel="00000000" w:rsidP="00000000" w:rsidRDefault="00000000" w:rsidRPr="00000000" w14:paraId="00000024">
            <w:pPr>
              <w:jc w:val="both"/>
              <w:rPr>
                <w:color w:val="000000"/>
              </w:rPr>
            </w:pPr>
            <w:r w:rsidDel="00000000" w:rsidR="00000000" w:rsidRPr="00000000">
              <w:rPr>
                <w:color w:val="000000"/>
                <w:rtl w:val="0"/>
              </w:rPr>
              <w:t xml:space="preserve">“WHO calls for three actions. Firstly, to recognize and frame menstruation as a health issue, not a hygiene issue – a health issue with physical, psychological, and social dimensions, and one that needs to be addressed in the perspective of a life course – from before menarche to after menopause. Secondly, to recognize that menstrual health means that women and girls and other people who menstruate, have access to information and education about it; to the menstrual products they need;  water, sanitation, and disposal facilities; to competent and empathic care when needed; to live, study and work in an environment in which menstruation is seen as positive and healthy not something to be ashamed of; and to fully participate in work and social activities. Thirdly, to ensure that these activities are included in the relevant sectoral work plans and budgets, and their performance is measured.” (WHO)</w:t>
            </w:r>
          </w:p>
          <w:p w:rsidR="00000000" w:rsidDel="00000000" w:rsidP="00000000" w:rsidRDefault="00000000" w:rsidRPr="00000000" w14:paraId="00000025">
            <w:pPr>
              <w:jc w:val="both"/>
              <w:rPr/>
            </w:pPr>
            <w:r w:rsidDel="00000000" w:rsidR="00000000" w:rsidRPr="00000000">
              <w:rPr>
                <w:color w:val="000000"/>
                <w:rtl w:val="0"/>
              </w:rPr>
              <w:t xml:space="preserve">The European law mainly deals with workplace issues related to menstrual health. Within this, menstrual leave is now considered to be one of the most important support tools for protecting the health of menstruating persons. This leave is defined in the international literature as a leave that allows menstruating persons to take leave in the sense of labor law if they cannot go to work due to their menstruation; is considered a policy that may affect menstruating persons in many ways, including their employment status. International interdisciplinary research on menstruation is linked to the concept of menstrual health. This also provides a broad context for labor law thinking, as it is intertwined with sustainability goals, gender equality and basic human rights, which is why, in addition to the research direction, it also determines policy requirements. Menstrual leave can have many benefits for menstruating women. Perhaps the most important benefit of allowing freedom is the reduction of suffering from the physical symptoms associated with menstruation. There is also a position that the recognition and evaluation of menstruation in labor law also entails the destigmatization of menstruation. In the case of modern gender issues, we can also discover additional aspects related to the rise of menstrual health in this direction, especially regarding trans men. Nevertheless, considering its sensitive circumstances, menstrual leave also carries risk factors, which are primarily of a non-legal nature.</w:t>
            </w:r>
            <w:r w:rsidDel="00000000" w:rsidR="00000000" w:rsidRPr="00000000">
              <w:rPr>
                <w:rtl w:val="0"/>
              </w:rPr>
            </w:r>
          </w:p>
        </w:tc>
      </w:tr>
      <w:tr>
        <w:trPr>
          <w:cantSplit w:val="0"/>
          <w:trHeight w:val="700" w:hRule="atLeast"/>
          <w:tblHeader w:val="0"/>
        </w:trPr>
        <w:tc>
          <w:tcPr>
            <w:shd w:fill="d9d9d9" w:val="clear"/>
            <w:vAlign w:val="center"/>
          </w:tcPr>
          <w:p w:rsidR="00000000" w:rsidDel="00000000" w:rsidP="00000000" w:rsidRDefault="00000000" w:rsidRPr="00000000" w14:paraId="00000027">
            <w:pPr>
              <w:rPr>
                <w:b w:val="1"/>
              </w:rPr>
            </w:pPr>
            <w:r w:rsidDel="00000000" w:rsidR="00000000" w:rsidRPr="00000000">
              <w:rPr>
                <w:b w:val="1"/>
                <w:rtl w:val="0"/>
              </w:rPr>
              <w:t xml:space="preserve">BASIC TERMS</w:t>
            </w:r>
          </w:p>
        </w:tc>
        <w:tc>
          <w:tcPr>
            <w:gridSpan w:val="2"/>
            <w:vAlign w:val="center"/>
          </w:tcPr>
          <w:p w:rsidR="00000000" w:rsidDel="00000000" w:rsidP="00000000" w:rsidRDefault="00000000" w:rsidRPr="00000000" w14:paraId="00000028">
            <w:pPr>
              <w:rPr/>
            </w:pPr>
            <w:r w:rsidDel="00000000" w:rsidR="00000000" w:rsidRPr="00000000">
              <w:rPr>
                <w:rtl w:val="0"/>
              </w:rPr>
              <w:t xml:space="preserve">MENSTRUAL HEALTH, DESTIGMATIZATION, EMPATHIC CARE</w:t>
            </w:r>
          </w:p>
        </w:tc>
      </w:tr>
      <w:tr>
        <w:trPr>
          <w:cantSplit w:val="0"/>
          <w:trHeight w:val="171" w:hRule="atLeast"/>
          <w:tblHeader w:val="0"/>
        </w:trPr>
        <w:tc>
          <w:tcPr>
            <w:vMerge w:val="restart"/>
            <w:shd w:fill="d9d9d9" w:val="clear"/>
            <w:vAlign w:val="center"/>
          </w:tcPr>
          <w:p w:rsidR="00000000" w:rsidDel="00000000" w:rsidP="00000000" w:rsidRDefault="00000000" w:rsidRPr="00000000" w14:paraId="0000002A">
            <w:pPr>
              <w:rPr>
                <w:b w:val="1"/>
              </w:rPr>
            </w:pPr>
            <w:r w:rsidDel="00000000" w:rsidR="00000000" w:rsidRPr="00000000">
              <w:rPr>
                <w:b w:val="1"/>
                <w:rtl w:val="0"/>
              </w:rPr>
              <w:t xml:space="preserve">COURSE OF THE CLASSES </w:t>
            </w:r>
          </w:p>
          <w:p w:rsidR="00000000" w:rsidDel="00000000" w:rsidP="00000000" w:rsidRDefault="00000000" w:rsidRPr="00000000" w14:paraId="0000002B">
            <w:pPr>
              <w:rPr>
                <w:b w:val="1"/>
              </w:rPr>
            </w:pPr>
            <w:r w:rsidDel="00000000" w:rsidR="00000000" w:rsidRPr="00000000">
              <w:rPr>
                <w:rtl w:val="0"/>
              </w:rPr>
            </w:r>
          </w:p>
        </w:tc>
        <w:tc>
          <w:tcPr>
            <w:shd w:fill="d9d9d9" w:val="clear"/>
            <w:vAlign w:val="center"/>
          </w:tcPr>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STEP 1</w:t>
            </w:r>
          </w:p>
        </w:tc>
        <w:tc>
          <w:tcPr>
            <w:vAlign w:val="center"/>
          </w:tcPr>
          <w:p w:rsidR="00000000" w:rsidDel="00000000" w:rsidP="00000000" w:rsidRDefault="00000000" w:rsidRPr="00000000" w14:paraId="0000002E">
            <w:pPr>
              <w:rPr/>
            </w:pPr>
            <w:r w:rsidDel="00000000" w:rsidR="00000000" w:rsidRPr="00000000">
              <w:rPr>
                <w:b w:val="1"/>
                <w:rtl w:val="0"/>
              </w:rPr>
              <w:t xml:space="preserve">Warm-up</w:t>
            </w:r>
            <w:r w:rsidDel="00000000" w:rsidR="00000000" w:rsidRPr="00000000">
              <w:rPr>
                <w:rtl w:val="0"/>
              </w:rPr>
              <w:t xml:space="preserve"> ()</w:t>
            </w:r>
          </w:p>
          <w:p w:rsidR="00000000" w:rsidDel="00000000" w:rsidP="00000000" w:rsidRDefault="00000000" w:rsidRPr="00000000" w14:paraId="0000002F">
            <w:pPr>
              <w:numPr>
                <w:ilvl w:val="0"/>
                <w:numId w:val="7"/>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Each student talks about their knowledge about menstruation. </w:t>
            </w:r>
          </w:p>
          <w:p w:rsidR="00000000" w:rsidDel="00000000" w:rsidP="00000000" w:rsidRDefault="00000000" w:rsidRPr="00000000" w14:paraId="00000030">
            <w:pPr>
              <w:numPr>
                <w:ilvl w:val="0"/>
                <w:numId w:val="7"/>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After this, each student has to talk about, how they felt about talking about menstruation. </w:t>
            </w:r>
          </w:p>
          <w:p w:rsidR="00000000" w:rsidDel="00000000" w:rsidP="00000000" w:rsidRDefault="00000000" w:rsidRPr="00000000" w14:paraId="00000031">
            <w:pPr>
              <w:numPr>
                <w:ilvl w:val="0"/>
                <w:numId w:val="7"/>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Each student is asked tell, if some infos were new for them.</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76" w:lineRule="auto"/>
              <w:ind w:left="720" w:firstLine="0"/>
              <w:jc w:val="both"/>
              <w:rPr>
                <w:color w:val="000000"/>
              </w:rPr>
            </w:pPr>
            <w:r w:rsidDel="00000000" w:rsidR="00000000" w:rsidRPr="00000000">
              <w:rPr>
                <w:color w:val="000000"/>
                <w:rtl w:val="0"/>
              </w:rPr>
              <w:t xml:space="preserve">The teacher can also take part in this exercise – he/she may talk about his/her experience.</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76" w:lineRule="auto"/>
              <w:ind w:left="720" w:firstLine="0"/>
              <w:jc w:val="both"/>
              <w:rPr>
                <w:color w:val="000000"/>
              </w:rPr>
            </w:pPr>
            <w:r w:rsidDel="00000000" w:rsidR="00000000" w:rsidRPr="00000000">
              <w:rPr>
                <w:rtl w:val="0"/>
              </w:rPr>
            </w:r>
          </w:p>
          <w:p w:rsidR="00000000" w:rsidDel="00000000" w:rsidP="00000000" w:rsidRDefault="00000000" w:rsidRPr="00000000" w14:paraId="00000034">
            <w:pPr>
              <w:numPr>
                <w:ilvl w:val="0"/>
                <w:numId w:val="7"/>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The exercise is followed by a short discussion. The students try to answer the following questions:</w:t>
            </w:r>
          </w:p>
          <w:p w:rsidR="00000000" w:rsidDel="00000000" w:rsidP="00000000" w:rsidRDefault="00000000" w:rsidRPr="00000000" w14:paraId="00000035">
            <w:pPr>
              <w:numPr>
                <w:ilvl w:val="0"/>
                <w:numId w:val="6"/>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Is it easy to talk about menstruation?</w:t>
            </w:r>
          </w:p>
          <w:p w:rsidR="00000000" w:rsidDel="00000000" w:rsidP="00000000" w:rsidRDefault="00000000" w:rsidRPr="00000000" w14:paraId="00000036">
            <w:pPr>
              <w:numPr>
                <w:ilvl w:val="0"/>
                <w:numId w:val="6"/>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Did they experience any bullying in connection with the menstruation?</w:t>
            </w:r>
          </w:p>
          <w:p w:rsidR="00000000" w:rsidDel="00000000" w:rsidP="00000000" w:rsidRDefault="00000000" w:rsidRPr="00000000" w14:paraId="00000037">
            <w:pPr>
              <w:numPr>
                <w:ilvl w:val="0"/>
                <w:numId w:val="6"/>
              </w:numPr>
              <w:pBdr>
                <w:top w:space="0" w:sz="0" w:val="nil"/>
                <w:left w:space="0" w:sz="0" w:val="nil"/>
                <w:bottom w:space="0" w:sz="0" w:val="nil"/>
                <w:right w:space="0" w:sz="0" w:val="nil"/>
                <w:between w:space="0" w:sz="0" w:val="nil"/>
              </w:pBdr>
              <w:spacing w:after="200" w:line="276" w:lineRule="auto"/>
              <w:ind w:left="720" w:hanging="360"/>
              <w:jc w:val="both"/>
              <w:rPr>
                <w:color w:val="000000"/>
              </w:rPr>
            </w:pPr>
            <w:r w:rsidDel="00000000" w:rsidR="00000000" w:rsidRPr="00000000">
              <w:rPr>
                <w:color w:val="000000"/>
                <w:rtl w:val="0"/>
              </w:rPr>
              <w:t xml:space="preserve">Why do we need to spread the concept of menstrual health?</w:t>
            </w:r>
          </w:p>
          <w:p w:rsidR="00000000" w:rsidDel="00000000" w:rsidP="00000000" w:rsidRDefault="00000000" w:rsidRPr="00000000" w14:paraId="00000038">
            <w:pPr>
              <w:rPr/>
            </w:pPr>
            <w:r w:rsidDel="00000000" w:rsidR="00000000" w:rsidRPr="00000000">
              <w:rPr>
                <w:rtl w:val="0"/>
              </w:rPr>
            </w:r>
          </w:p>
        </w:tc>
      </w:tr>
      <w:tr>
        <w:trPr>
          <w:cantSplit w:val="0"/>
          <w:trHeight w:val="171" w:hRule="atLeast"/>
          <w:tblHeader w:val="0"/>
        </w:trPr>
        <w:tc>
          <w:tcPr>
            <w:vMerge w:val="continue"/>
            <w:shd w:fill="d9d9d9" w:val="cle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d9d9d9" w:val="clear"/>
            <w:vAlign w:val="center"/>
          </w:tcPr>
          <w:p w:rsidR="00000000" w:rsidDel="00000000" w:rsidP="00000000" w:rsidRDefault="00000000" w:rsidRPr="00000000" w14:paraId="0000003A">
            <w:pPr>
              <w:rPr>
                <w:b w:val="1"/>
              </w:rPr>
            </w:pPr>
            <w:r w:rsidDel="00000000" w:rsidR="00000000" w:rsidRPr="00000000">
              <w:rPr>
                <w:b w:val="1"/>
                <w:rtl w:val="0"/>
              </w:rPr>
              <w:t xml:space="preserve">STEP 2</w:t>
            </w:r>
          </w:p>
        </w:tc>
        <w:tc>
          <w:tcPr>
            <w:vAlign w:val="center"/>
          </w:tcPr>
          <w:p w:rsidR="00000000" w:rsidDel="00000000" w:rsidP="00000000" w:rsidRDefault="00000000" w:rsidRPr="00000000" w14:paraId="0000003B">
            <w:pPr>
              <w:numPr>
                <w:ilvl w:val="0"/>
                <w:numId w:val="8"/>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The students has to discuss, what is a menstrual cycle. What do they know about a period? What is a normal period, and what kind of symptoms are connected with the menstruation? The students can also do the Internet research on their own. </w:t>
            </w:r>
          </w:p>
          <w:p w:rsidR="00000000" w:rsidDel="00000000" w:rsidP="00000000" w:rsidRDefault="00000000" w:rsidRPr="00000000" w14:paraId="0000003C">
            <w:pPr>
              <w:numPr>
                <w:ilvl w:val="0"/>
                <w:numId w:val="5"/>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Possible sources/suggested reading material:</w:t>
            </w:r>
          </w:p>
          <w:p w:rsidR="00000000" w:rsidDel="00000000" w:rsidP="00000000" w:rsidRDefault="00000000" w:rsidRPr="00000000" w14:paraId="0000003D">
            <w:pPr>
              <w:pBdr>
                <w:top w:space="0" w:sz="0" w:val="nil"/>
                <w:left w:space="0" w:sz="0" w:val="nil"/>
                <w:bottom w:space="0" w:sz="0" w:val="nil"/>
                <w:right w:space="0" w:sz="0" w:val="nil"/>
                <w:between w:space="0" w:sz="0" w:val="nil"/>
              </w:pBdr>
              <w:ind w:left="1080" w:firstLine="0"/>
              <w:jc w:val="both"/>
              <w:rPr>
                <w:color w:val="000000"/>
              </w:rPr>
            </w:pPr>
            <w:hyperlink r:id="rId7">
              <w:r w:rsidDel="00000000" w:rsidR="00000000" w:rsidRPr="00000000">
                <w:rPr>
                  <w:color w:val="0000ff"/>
                  <w:u w:val="single"/>
                  <w:rtl w:val="0"/>
                </w:rPr>
                <w:t xml:space="preserve">https://my.clevelandclinic.org/health/articles/10132-normal-menstruation</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hyperlink r:id="rId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https://www.yourperiod.ca/normal-periods/menstrual-cycle-basics/</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https://www.mayoclinic.org/healthy-lifestyle/womens-health/in-depth/menstrual-cycle/art-20047186</w:t>
            </w:r>
          </w:p>
          <w:p w:rsidR="00000000" w:rsidDel="00000000" w:rsidP="00000000" w:rsidRDefault="00000000" w:rsidRPr="00000000" w14:paraId="00000040">
            <w:pPr>
              <w:pBdr>
                <w:top w:space="0" w:sz="0" w:val="nil"/>
                <w:left w:space="0" w:sz="0" w:val="nil"/>
                <w:bottom w:space="0" w:sz="0" w:val="nil"/>
                <w:right w:space="0" w:sz="0" w:val="nil"/>
                <w:between w:space="0" w:sz="0" w:val="nil"/>
              </w:pBdr>
              <w:ind w:left="720" w:firstLine="0"/>
              <w:jc w:val="both"/>
              <w:rPr>
                <w:color w:val="000000"/>
              </w:rPr>
            </w:pPr>
            <w:r w:rsidDel="00000000" w:rsidR="00000000" w:rsidRPr="00000000">
              <w:rPr>
                <w:rtl w:val="0"/>
              </w:rPr>
            </w:r>
          </w:p>
        </w:tc>
      </w:tr>
      <w:tr>
        <w:trPr>
          <w:cantSplit w:val="0"/>
          <w:trHeight w:val="732" w:hRule="atLeast"/>
          <w:tblHeader w:val="0"/>
        </w:trPr>
        <w:tc>
          <w:tcPr>
            <w:vMerge w:val="continue"/>
            <w:shd w:fill="d9d9d9" w:val="cle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shd w:fill="d9d9d9" w:val="clear"/>
            <w:vAlign w:val="center"/>
          </w:tcPr>
          <w:p w:rsidR="00000000" w:rsidDel="00000000" w:rsidP="00000000" w:rsidRDefault="00000000" w:rsidRPr="00000000" w14:paraId="00000042">
            <w:pPr>
              <w:rPr>
                <w:b w:val="1"/>
              </w:rPr>
            </w:pPr>
            <w:r w:rsidDel="00000000" w:rsidR="00000000" w:rsidRPr="00000000">
              <w:rPr>
                <w:b w:val="1"/>
                <w:rtl w:val="0"/>
              </w:rPr>
              <w:t xml:space="preserve">STEP 3</w:t>
            </w:r>
          </w:p>
        </w:tc>
        <w:tc>
          <w:tcPr>
            <w:vAlign w:val="center"/>
          </w:tcPr>
          <w:p w:rsidR="00000000" w:rsidDel="00000000" w:rsidP="00000000" w:rsidRDefault="00000000" w:rsidRPr="00000000" w14:paraId="00000043">
            <w:pPr>
              <w:numPr>
                <w:ilvl w:val="0"/>
                <w:numId w:val="8"/>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The students are divided into six groups (MS Teams, breakout rooms option). Each group is to describe a different option how to care empathically about a menstruator. The students can also do the Internet research on their own. </w:t>
            </w:r>
          </w:p>
          <w:p w:rsidR="00000000" w:rsidDel="00000000" w:rsidP="00000000" w:rsidRDefault="00000000" w:rsidRPr="00000000" w14:paraId="00000044">
            <w:pPr>
              <w:numPr>
                <w:ilvl w:val="0"/>
                <w:numId w:val="5"/>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Possible sources/suggested reading material:</w:t>
            </w:r>
          </w:p>
          <w:p w:rsidR="00000000" w:rsidDel="00000000" w:rsidP="00000000" w:rsidRDefault="00000000" w:rsidRPr="00000000" w14:paraId="00000045">
            <w:pPr>
              <w:pBdr>
                <w:top w:space="0" w:sz="0" w:val="nil"/>
                <w:left w:space="0" w:sz="0" w:val="nil"/>
                <w:bottom w:space="0" w:sz="0" w:val="nil"/>
                <w:right w:space="0" w:sz="0" w:val="nil"/>
                <w:between w:space="0" w:sz="0" w:val="nil"/>
              </w:pBdr>
              <w:ind w:left="1080" w:firstLine="0"/>
              <w:jc w:val="both"/>
              <w:rPr>
                <w:color w:val="000000"/>
              </w:rPr>
            </w:pPr>
            <w:r w:rsidDel="00000000" w:rsidR="00000000" w:rsidRPr="00000000">
              <w:rPr>
                <w:color w:val="000000"/>
                <w:rtl w:val="0"/>
              </w:rPr>
              <w:t xml:space="preserve">WHO statement on menstrual health and rights </w:t>
            </w:r>
          </w:p>
          <w:p w:rsidR="00000000" w:rsidDel="00000000" w:rsidP="00000000" w:rsidRDefault="00000000" w:rsidRPr="00000000" w14:paraId="00000046">
            <w:pPr>
              <w:pBdr>
                <w:top w:space="0" w:sz="0" w:val="nil"/>
                <w:left w:space="0" w:sz="0" w:val="nil"/>
                <w:bottom w:space="0" w:sz="0" w:val="nil"/>
                <w:right w:space="0" w:sz="0" w:val="nil"/>
                <w:between w:space="0" w:sz="0" w:val="nil"/>
              </w:pBdr>
              <w:ind w:left="1080" w:firstLine="0"/>
              <w:jc w:val="both"/>
              <w:rPr>
                <w:color w:val="000000"/>
              </w:rPr>
            </w:pPr>
            <w:hyperlink r:id="rId9">
              <w:r w:rsidDel="00000000" w:rsidR="00000000" w:rsidRPr="00000000">
                <w:rPr>
                  <w:color w:val="0000ff"/>
                  <w:u w:val="single"/>
                  <w:rtl w:val="0"/>
                </w:rPr>
                <w:t xml:space="preserve">https://www.who.int/news/item/22-06-2022-who-statement-on-menstrual-health-and-rights</w:t>
              </w:r>
            </w:hyperlink>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ind w:left="1080" w:firstLine="0"/>
              <w:jc w:val="both"/>
              <w:rPr>
                <w:color w:val="00000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ind w:left="1080" w:firstLine="0"/>
              <w:jc w:val="both"/>
              <w:rPr>
                <w:color w:val="000000"/>
              </w:rPr>
            </w:pPr>
            <w:r w:rsidDel="00000000" w:rsidR="00000000" w:rsidRPr="00000000">
              <w:rPr>
                <w:color w:val="000000"/>
                <w:rtl w:val="0"/>
              </w:rPr>
              <w:t xml:space="preserve">Hennegan J, Winkler IT, Bobel C, Keiser D, Hampton J, Larsson G, Chandra-Mouli V, Plesons M, Mahon T. Menstrual health: a definition for policy, practice, and research. Sex Reprod Health Matters. 2021 Dec;29(1):1911618. doi: 10.1080/26410397.2021.1911618. </w:t>
            </w:r>
          </w:p>
          <w:p w:rsidR="00000000" w:rsidDel="00000000" w:rsidP="00000000" w:rsidRDefault="00000000" w:rsidRPr="00000000" w14:paraId="00000049">
            <w:pPr>
              <w:pBdr>
                <w:top w:space="0" w:sz="0" w:val="nil"/>
                <w:left w:space="0" w:sz="0" w:val="nil"/>
                <w:bottom w:space="0" w:sz="0" w:val="nil"/>
                <w:right w:space="0" w:sz="0" w:val="nil"/>
                <w:between w:space="0" w:sz="0" w:val="nil"/>
              </w:pBdr>
              <w:ind w:left="1080" w:firstLine="0"/>
              <w:jc w:val="both"/>
              <w:rPr>
                <w:color w:val="000000"/>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r>
          </w:p>
        </w:tc>
      </w:tr>
      <w:tr>
        <w:trPr>
          <w:cantSplit w:val="0"/>
          <w:trHeight w:val="732" w:hRule="atLeast"/>
          <w:tblHeader w:val="0"/>
        </w:trPr>
        <w:tc>
          <w:tcPr>
            <w:shd w:fill="d9d9d9" w:val="clear"/>
            <w:vAlign w:val="center"/>
          </w:tcPr>
          <w:p w:rsidR="00000000" w:rsidDel="00000000" w:rsidP="00000000" w:rsidRDefault="00000000" w:rsidRPr="00000000" w14:paraId="0000004B">
            <w:pPr>
              <w:rPr/>
            </w:pPr>
            <w:r w:rsidDel="00000000" w:rsidR="00000000" w:rsidRPr="00000000">
              <w:rPr>
                <w:rtl w:val="0"/>
              </w:rPr>
            </w:r>
          </w:p>
        </w:tc>
        <w:tc>
          <w:tcPr>
            <w:shd w:fill="d9d9d9" w:val="clear"/>
            <w:vAlign w:val="center"/>
          </w:tcPr>
          <w:p w:rsidR="00000000" w:rsidDel="00000000" w:rsidP="00000000" w:rsidRDefault="00000000" w:rsidRPr="00000000" w14:paraId="0000004C">
            <w:pPr>
              <w:rPr>
                <w:b w:val="1"/>
              </w:rPr>
            </w:pPr>
            <w:r w:rsidDel="00000000" w:rsidR="00000000" w:rsidRPr="00000000">
              <w:rPr>
                <w:b w:val="1"/>
                <w:rtl w:val="0"/>
              </w:rPr>
              <w:t xml:space="preserve">STEP 4</w:t>
            </w:r>
          </w:p>
        </w:tc>
        <w:tc>
          <w:tcP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76" w:lineRule="auto"/>
              <w:jc w:val="both"/>
              <w:rPr>
                <w:color w:val="000000"/>
              </w:rPr>
            </w:pPr>
            <w:r w:rsidDel="00000000" w:rsidR="00000000" w:rsidRPr="00000000">
              <w:rPr>
                <w:color w:val="000000"/>
                <w:rtl w:val="0"/>
              </w:rPr>
              <w:t xml:space="preserve">The students have to discuss, what the labour law and the employer can do at the workplace to empathically care about the menstruator. The students have to talkt about the following topics:</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Did the students experience any bullying in connection with the menstruation before?</w:t>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pacing w:after="200" w:line="276" w:lineRule="auto"/>
              <w:ind w:left="720" w:hanging="360"/>
              <w:jc w:val="both"/>
              <w:rPr>
                <w:color w:val="000000"/>
              </w:rPr>
            </w:pPr>
            <w:r w:rsidDel="00000000" w:rsidR="00000000" w:rsidRPr="00000000">
              <w:rPr>
                <w:color w:val="000000"/>
                <w:rtl w:val="0"/>
              </w:rPr>
              <w:t xml:space="preserve">Why do we need to spread the concept of menstrual health at a working community, at the workplace?</w:t>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What kind of options are there for the employer in connection with the menstrual health?</w:t>
            </w:r>
          </w:p>
          <w:p w:rsidR="00000000" w:rsidDel="00000000" w:rsidP="00000000" w:rsidRDefault="00000000" w:rsidRPr="00000000" w14:paraId="00000051">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Possible reading material:</w:t>
            </w:r>
          </w:p>
          <w:p w:rsidR="00000000" w:rsidDel="00000000" w:rsidP="00000000" w:rsidRDefault="00000000" w:rsidRPr="00000000" w14:paraId="000000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hyperlink r:id="rId10">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https://www.bbc.com/worklife/article/20220426-could-menstrual-leave-change-the-workplace</w:t>
              </w:r>
            </w:hyperlink>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hyperlink r:id="rId11">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https://equityhealthj.biomedcentral.com/articles/10.1186/s12939-016-0379-8</w:t>
              </w:r>
            </w:hyperlink>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hyperlink r:id="rId12">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https://www.hrzone.com/perform/people/its-time-to-address-menstruation-in-the-workplace-period</w:t>
              </w:r>
            </w:hyperlink>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57">
      <w:pPr>
        <w:rPr/>
      </w:pPr>
      <w:r w:rsidDel="00000000" w:rsidR="00000000" w:rsidRPr="00000000">
        <w:rPr>
          <w:rtl w:val="0"/>
        </w:rPr>
        <w:t xml:space="preserve"> </w:t>
      </w:r>
    </w:p>
    <w:sectPr>
      <w:headerReference r:id="rId13" w:type="default"/>
      <w:footerReference r:id="rId14"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Courier New"/>
  <w:font w:name="Constanti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leader="none" w:pos="4536"/>
        <w:tab w:val="right" w:leader="none" w:pos="9072"/>
      </w:tabs>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line="276" w:lineRule="auto"/>
      <w:rPr>
        <w:b w:val="1"/>
      </w:rPr>
    </w:pPr>
    <w:r w:rsidDel="00000000" w:rsidR="00000000" w:rsidRPr="00000000">
      <w:rPr>
        <w:rtl w:val="0"/>
      </w:rPr>
    </w:r>
  </w:p>
  <w:tbl>
    <w:tblPr>
      <w:tblStyle w:val="Table4"/>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997"/>
      <w:gridCol w:w="3075"/>
      <w:tblGridChange w:id="0">
        <w:tblGrid>
          <w:gridCol w:w="5997"/>
          <w:gridCol w:w="307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leader="none" w:pos="4536"/>
              <w:tab w:val="right" w:leader="none" w:pos="9072"/>
            </w:tabs>
            <w:rPr>
              <w:color w:val="000000"/>
              <w:sz w:val="22"/>
              <w:szCs w:val="22"/>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leader="none" w:pos="4536"/>
              <w:tab w:val="right" w:leader="none" w:pos="9072"/>
            </w:tabs>
            <w:rPr>
              <w:rFonts w:ascii="Constantia" w:cs="Constantia" w:eastAsia="Constantia" w:hAnsi="Constantia"/>
              <w:color w:val="a6a6a6"/>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color w:val="000000"/>
              <w:sz w:val="22"/>
              <w:szCs w:val="22"/>
            </w:rPr>
          </w:pPr>
          <w:r w:rsidDel="00000000" w:rsidR="00000000" w:rsidRPr="00000000">
            <w:rPr>
              <w:rtl w:val="0"/>
            </w:rPr>
          </w:r>
        </w:p>
      </w:tc>
    </w:tr>
  </w:tbl>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leader="none" w:pos="4536"/>
        <w:tab w:val="right" w:leader="none" w:pos="9072"/>
      </w:tabs>
      <w:rPr>
        <w:color w:val="a6a6a6"/>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Arial" w:cs="Arial" w:eastAsia="Arial" w:hAnsi="Arial"/>
      <w:b w:val="1"/>
    </w:rPr>
  </w:style>
  <w:style w:type="paragraph" w:styleId="Heading2">
    <w:name w:val="heading 2"/>
    <w:basedOn w:val="Normal"/>
    <w:next w:val="Normal"/>
    <w:pPr>
      <w:keepNext w:val="1"/>
      <w:keepLines w:val="1"/>
      <w:spacing w:before="40" w:line="276"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before="40" w:line="276" w:lineRule="auto"/>
    </w:pPr>
    <w:rPr>
      <w:rFonts w:ascii="Cambria" w:cs="Cambria" w:eastAsia="Cambria" w:hAnsi="Cambria"/>
      <w:i w:val="1"/>
      <w:color w:val="366091"/>
      <w:sz w:val="22"/>
      <w:szCs w:val="22"/>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 w:default="1">
    <w:name w:val="Normal"/>
    <w:qFormat w:val="1"/>
    <w:rsid w:val="00FB26CF"/>
  </w:style>
  <w:style w:type="paragraph" w:styleId="Cmsor1">
    <w:name w:val="heading 1"/>
    <w:basedOn w:val="Norml"/>
    <w:next w:val="Norml"/>
    <w:link w:val="Cmsor1Char"/>
    <w:uiPriority w:val="9"/>
    <w:qFormat w:val="1"/>
    <w:rsid w:val="00B01AF3"/>
    <w:pPr>
      <w:keepNext w:val="1"/>
      <w:suppressAutoHyphens w:val="1"/>
      <w:outlineLvl w:val="0"/>
    </w:pPr>
    <w:rPr>
      <w:rFonts w:ascii="Arial" w:hAnsi="Arial"/>
      <w:b w:val="1"/>
      <w:szCs w:val="20"/>
    </w:rPr>
  </w:style>
  <w:style w:type="paragraph" w:styleId="Cmsor2">
    <w:name w:val="heading 2"/>
    <w:basedOn w:val="Norml"/>
    <w:next w:val="Norml"/>
    <w:link w:val="Cmsor2Char"/>
    <w:uiPriority w:val="9"/>
    <w:semiHidden w:val="1"/>
    <w:unhideWhenUsed w:val="1"/>
    <w:qFormat w:val="1"/>
    <w:rsid w:val="00FB6B28"/>
    <w:pPr>
      <w:keepNext w:val="1"/>
      <w:keepLines w:val="1"/>
      <w:suppressAutoHyphens w:val="1"/>
      <w:spacing w:before="40" w:line="276" w:lineRule="auto"/>
      <w:outlineLvl w:val="1"/>
    </w:pPr>
    <w:rPr>
      <w:rFonts w:asciiTheme="majorHAnsi" w:cstheme="majorBidi" w:eastAsiaTheme="majorEastAsia" w:hAnsiTheme="majorHAnsi"/>
      <w:color w:val="365f91" w:themeColor="accent1" w:themeShade="0000BF"/>
      <w:sz w:val="26"/>
      <w:szCs w:val="26"/>
    </w:rPr>
  </w:style>
  <w:style w:type="paragraph" w:styleId="Cmsor3">
    <w:name w:val="heading 3"/>
    <w:basedOn w:val="Norml"/>
    <w:next w:val="Norml"/>
    <w:uiPriority w:val="9"/>
    <w:semiHidden w:val="1"/>
    <w:unhideWhenUsed w:val="1"/>
    <w:qFormat w:val="1"/>
    <w:pPr>
      <w:keepNext w:val="1"/>
      <w:keepLines w:val="1"/>
      <w:spacing w:after="80" w:before="280"/>
      <w:outlineLvl w:val="2"/>
    </w:pPr>
    <w:rPr>
      <w:b w:val="1"/>
      <w:sz w:val="28"/>
      <w:szCs w:val="28"/>
    </w:rPr>
  </w:style>
  <w:style w:type="paragraph" w:styleId="Cmsor4">
    <w:name w:val="heading 4"/>
    <w:basedOn w:val="Norml"/>
    <w:next w:val="Norml"/>
    <w:link w:val="Cmsor4Char"/>
    <w:uiPriority w:val="9"/>
    <w:semiHidden w:val="1"/>
    <w:unhideWhenUsed w:val="1"/>
    <w:qFormat w:val="1"/>
    <w:rsid w:val="00FE2EC4"/>
    <w:pPr>
      <w:keepNext w:val="1"/>
      <w:keepLines w:val="1"/>
      <w:suppressAutoHyphens w:val="1"/>
      <w:spacing w:before="40" w:line="276" w:lineRule="auto"/>
      <w:outlineLvl w:val="3"/>
    </w:pPr>
    <w:rPr>
      <w:rFonts w:asciiTheme="majorHAnsi" w:cstheme="majorBidi" w:eastAsiaTheme="majorEastAsia" w:hAnsiTheme="majorHAnsi"/>
      <w:i w:val="1"/>
      <w:iCs w:val="1"/>
      <w:color w:val="365f91" w:themeColor="accent1" w:themeShade="0000BF"/>
      <w:sz w:val="22"/>
      <w:szCs w:val="22"/>
    </w:rPr>
  </w:style>
  <w:style w:type="paragraph" w:styleId="Cmsor5">
    <w:name w:val="heading 5"/>
    <w:basedOn w:val="Norml"/>
    <w:next w:val="Norml"/>
    <w:uiPriority w:val="9"/>
    <w:semiHidden w:val="1"/>
    <w:unhideWhenUsed w:val="1"/>
    <w:qFormat w:val="1"/>
    <w:pPr>
      <w:keepNext w:val="1"/>
      <w:keepLines w:val="1"/>
      <w:spacing w:after="40" w:before="220"/>
      <w:outlineLvl w:val="4"/>
    </w:pPr>
    <w:rPr>
      <w:b w:val="1"/>
      <w:sz w:val="22"/>
      <w:szCs w:val="22"/>
    </w:rPr>
  </w:style>
  <w:style w:type="paragraph" w:styleId="Cmsor6">
    <w:name w:val="heading 6"/>
    <w:basedOn w:val="Norml"/>
    <w:next w:val="Norml"/>
    <w:uiPriority w:val="9"/>
    <w:semiHidden w:val="1"/>
    <w:unhideWhenUsed w:val="1"/>
    <w:qFormat w:val="1"/>
    <w:pPr>
      <w:keepNext w:val="1"/>
      <w:keepLines w:val="1"/>
      <w:spacing w:after="40" w:before="200"/>
      <w:outlineLvl w:val="5"/>
    </w:pPr>
    <w:rPr>
      <w:b w:val="1"/>
      <w:sz w:val="20"/>
      <w:szCs w:val="20"/>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Cm">
    <w:name w:val="Title"/>
    <w:basedOn w:val="Norml"/>
    <w:next w:val="Norml"/>
    <w:uiPriority w:val="10"/>
    <w:qFormat w:val="1"/>
    <w:pPr>
      <w:keepNext w:val="1"/>
      <w:keepLines w:val="1"/>
      <w:spacing w:after="120" w:before="480"/>
    </w:pPr>
    <w:rPr>
      <w:b w:val="1"/>
      <w:sz w:val="72"/>
      <w:szCs w:val="72"/>
    </w:rPr>
  </w:style>
  <w:style w:type="character" w:styleId="lfejChar" w:customStyle="1">
    <w:name w:val="Élőfej Char"/>
    <w:basedOn w:val="Bekezdsalapbettpusa"/>
    <w:link w:val="lfej"/>
    <w:uiPriority w:val="99"/>
    <w:qFormat w:val="1"/>
    <w:rsid w:val="007428B0"/>
  </w:style>
  <w:style w:type="character" w:styleId="llbChar" w:customStyle="1">
    <w:name w:val="Élőláb Char"/>
    <w:basedOn w:val="Bekezdsalapbettpusa"/>
    <w:link w:val="llb"/>
    <w:uiPriority w:val="99"/>
    <w:qFormat w:val="1"/>
    <w:rsid w:val="007428B0"/>
  </w:style>
  <w:style w:type="character" w:styleId="BuborkszvegChar" w:customStyle="1">
    <w:name w:val="Buborékszöveg Char"/>
    <w:basedOn w:val="Bekezdsalapbettpusa"/>
    <w:link w:val="Buborkszveg"/>
    <w:uiPriority w:val="99"/>
    <w:semiHidden w:val="1"/>
    <w:qFormat w:val="1"/>
    <w:rsid w:val="007428B0"/>
    <w:rPr>
      <w:rFonts w:ascii="Tahoma" w:cs="Tahoma" w:hAnsi="Tahoma"/>
      <w:sz w:val="16"/>
      <w:szCs w:val="16"/>
    </w:rPr>
  </w:style>
  <w:style w:type="character" w:styleId="apple-tab-span" w:customStyle="1">
    <w:name w:val="apple-tab-span"/>
    <w:basedOn w:val="Bekezdsalapbettpusa"/>
    <w:qFormat w:val="1"/>
    <w:rsid w:val="00C1228A"/>
  </w:style>
  <w:style w:type="character" w:styleId="Cmsor1Char" w:customStyle="1">
    <w:name w:val="Címsor 1 Char"/>
    <w:basedOn w:val="Bekezdsalapbettpusa"/>
    <w:link w:val="Cmsor1"/>
    <w:qFormat w:val="1"/>
    <w:rsid w:val="00B01AF3"/>
    <w:rPr>
      <w:rFonts w:ascii="Arial" w:cs="Times New Roman" w:eastAsia="Times New Roman" w:hAnsi="Arial"/>
      <w:b w:val="1"/>
      <w:sz w:val="24"/>
      <w:szCs w:val="20"/>
    </w:rPr>
  </w:style>
  <w:style w:type="character" w:styleId="LbjegyzetszvegChar" w:customStyle="1">
    <w:name w:val="Lábjegyzetszöveg Char"/>
    <w:basedOn w:val="Bekezdsalapbettpusa"/>
    <w:link w:val="Lbjegyzetszveg"/>
    <w:uiPriority w:val="99"/>
    <w:semiHidden w:val="1"/>
    <w:qFormat w:val="1"/>
    <w:rsid w:val="00B01AF3"/>
    <w:rPr>
      <w:rFonts w:eastAsiaTheme="minorHAnsi"/>
      <w:sz w:val="20"/>
      <w:szCs w:val="20"/>
      <w:lang w:eastAsia="en-US"/>
    </w:rPr>
  </w:style>
  <w:style w:type="character" w:styleId="Zakotwiczenieprzypisudolnego" w:customStyle="1">
    <w:name w:val="Zakotwiczenie przypisu dolnego"/>
    <w:rPr>
      <w:vertAlign w:val="superscript"/>
    </w:rPr>
  </w:style>
  <w:style w:type="character" w:styleId="FootnoteCharacters" w:customStyle="1">
    <w:name w:val="Footnote Characters"/>
    <w:basedOn w:val="Bekezdsalapbettpusa"/>
    <w:uiPriority w:val="99"/>
    <w:semiHidden w:val="1"/>
    <w:unhideWhenUsed w:val="1"/>
    <w:qFormat w:val="1"/>
    <w:rsid w:val="00B01AF3"/>
    <w:rPr>
      <w:vertAlign w:val="superscript"/>
    </w:rPr>
  </w:style>
  <w:style w:type="character" w:styleId="il" w:customStyle="1">
    <w:name w:val="il"/>
    <w:basedOn w:val="Bekezdsalapbettpusa"/>
    <w:qFormat w:val="1"/>
    <w:rsid w:val="00C22491"/>
  </w:style>
  <w:style w:type="character" w:styleId="Cmsor2Char" w:customStyle="1">
    <w:name w:val="Címsor 2 Char"/>
    <w:basedOn w:val="Bekezdsalapbettpusa"/>
    <w:link w:val="Cmsor2"/>
    <w:uiPriority w:val="9"/>
    <w:semiHidden w:val="1"/>
    <w:qFormat w:val="1"/>
    <w:rsid w:val="00FB6B28"/>
    <w:rPr>
      <w:rFonts w:asciiTheme="majorHAnsi" w:cstheme="majorBidi" w:eastAsiaTheme="majorEastAsia" w:hAnsiTheme="majorHAnsi"/>
      <w:color w:val="365f91" w:themeColor="accent1" w:themeShade="0000BF"/>
      <w:sz w:val="26"/>
      <w:szCs w:val="26"/>
    </w:rPr>
  </w:style>
  <w:style w:type="character" w:styleId="jlqj4b" w:customStyle="1">
    <w:name w:val="jlqj4b"/>
    <w:basedOn w:val="Bekezdsalapbettpusa"/>
    <w:qFormat w:val="1"/>
    <w:rsid w:val="00FB6B28"/>
  </w:style>
  <w:style w:type="character" w:styleId="Jegyzethivatkozs">
    <w:name w:val="annotation reference"/>
    <w:basedOn w:val="Bekezdsalapbettpusa"/>
    <w:uiPriority w:val="99"/>
    <w:semiHidden w:val="1"/>
    <w:unhideWhenUsed w:val="1"/>
    <w:qFormat w:val="1"/>
    <w:rsid w:val="00643993"/>
    <w:rPr>
      <w:sz w:val="16"/>
      <w:szCs w:val="16"/>
    </w:rPr>
  </w:style>
  <w:style w:type="character" w:styleId="JegyzetszvegChar" w:customStyle="1">
    <w:name w:val="Jegyzetszöveg Char"/>
    <w:basedOn w:val="Bekezdsalapbettpusa"/>
    <w:link w:val="Jegyzetszveg"/>
    <w:uiPriority w:val="99"/>
    <w:qFormat w:val="1"/>
    <w:rsid w:val="00643993"/>
    <w:rPr>
      <w:sz w:val="20"/>
      <w:szCs w:val="20"/>
      <w:lang w:val="en-GB"/>
    </w:rPr>
  </w:style>
  <w:style w:type="character" w:styleId="MegjegyzstrgyaChar" w:customStyle="1">
    <w:name w:val="Megjegyzés tárgya Char"/>
    <w:basedOn w:val="JegyzetszvegChar"/>
    <w:link w:val="Megjegyzstrgya"/>
    <w:uiPriority w:val="99"/>
    <w:semiHidden w:val="1"/>
    <w:qFormat w:val="1"/>
    <w:rsid w:val="00643993"/>
    <w:rPr>
      <w:b w:val="1"/>
      <w:bCs w:val="1"/>
      <w:sz w:val="20"/>
      <w:szCs w:val="20"/>
      <w:lang w:val="en-GB"/>
    </w:rPr>
  </w:style>
  <w:style w:type="character" w:styleId="czeinternetowe" w:customStyle="1">
    <w:name w:val="Łącze internetowe"/>
    <w:basedOn w:val="Bekezdsalapbettpusa"/>
    <w:uiPriority w:val="99"/>
    <w:unhideWhenUsed w:val="1"/>
    <w:rsid w:val="001265DB"/>
    <w:rPr>
      <w:color w:val="0000ff" w:themeColor="hyperlink"/>
      <w:u w:val="single"/>
    </w:rPr>
  </w:style>
  <w:style w:type="character" w:styleId="Feloldatlanmegemlts">
    <w:name w:val="Unresolved Mention"/>
    <w:basedOn w:val="Bekezdsalapbettpusa"/>
    <w:uiPriority w:val="99"/>
    <w:semiHidden w:val="1"/>
    <w:unhideWhenUsed w:val="1"/>
    <w:qFormat w:val="1"/>
    <w:rsid w:val="001265DB"/>
    <w:rPr>
      <w:color w:val="605e5c"/>
      <w:shd w:color="auto" w:fill="e1dfdd" w:val="clear"/>
    </w:rPr>
  </w:style>
  <w:style w:type="character" w:styleId="Znakiprzypiswdolnych" w:customStyle="1">
    <w:name w:val="Znaki przypisów dolnych"/>
    <w:qFormat w:val="1"/>
  </w:style>
  <w:style w:type="character" w:styleId="Znakinumeracji" w:customStyle="1">
    <w:name w:val="Znaki numeracji"/>
    <w:qFormat w:val="1"/>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val="1"/>
  </w:style>
  <w:style w:type="paragraph" w:styleId="lfej">
    <w:name w:val="header"/>
    <w:basedOn w:val="Norml"/>
    <w:next w:val="Szvegtrzs"/>
    <w:link w:val="lfejChar"/>
    <w:uiPriority w:val="99"/>
    <w:unhideWhenUsed w:val="1"/>
    <w:rsid w:val="007428B0"/>
    <w:pPr>
      <w:tabs>
        <w:tab w:val="center" w:pos="4536"/>
        <w:tab w:val="right" w:pos="9072"/>
      </w:tabs>
      <w:suppressAutoHyphens w:val="1"/>
    </w:pPr>
    <w:rPr>
      <w:rFonts w:asciiTheme="minorHAnsi" w:cstheme="minorBidi" w:eastAsiaTheme="minorEastAsia" w:hAnsiTheme="minorHAnsi"/>
      <w:sz w:val="22"/>
      <w:szCs w:val="22"/>
    </w:rPr>
  </w:style>
  <w:style w:type="paragraph" w:styleId="Szvegtrzs">
    <w:name w:val="Body Text"/>
    <w:basedOn w:val="Norml"/>
    <w:pPr>
      <w:suppressAutoHyphens w:val="1"/>
      <w:spacing w:after="140" w:line="276" w:lineRule="auto"/>
    </w:pPr>
    <w:rPr>
      <w:rFonts w:asciiTheme="minorHAnsi" w:cstheme="minorBidi" w:eastAsiaTheme="minorEastAsia" w:hAnsiTheme="minorHAnsi"/>
      <w:sz w:val="22"/>
      <w:szCs w:val="22"/>
    </w:rPr>
  </w:style>
  <w:style w:type="paragraph" w:styleId="Lista">
    <w:name w:val="List"/>
    <w:basedOn w:val="Szvegtrzs"/>
    <w:rPr>
      <w:rFonts w:cs="Arial"/>
    </w:rPr>
  </w:style>
  <w:style w:type="paragraph" w:styleId="Kpalrs">
    <w:name w:val="caption"/>
    <w:basedOn w:val="Norml"/>
    <w:qFormat w:val="1"/>
    <w:pPr>
      <w:suppressLineNumbers w:val="1"/>
      <w:suppressAutoHyphens w:val="1"/>
      <w:spacing w:after="120" w:before="120" w:line="276" w:lineRule="auto"/>
    </w:pPr>
    <w:rPr>
      <w:rFonts w:cs="Arial" w:asciiTheme="minorHAnsi" w:eastAsiaTheme="minorEastAsia" w:hAnsiTheme="minorHAnsi"/>
      <w:i w:val="1"/>
      <w:iCs w:val="1"/>
    </w:rPr>
  </w:style>
  <w:style w:type="paragraph" w:styleId="Indeks" w:customStyle="1">
    <w:name w:val="Indeks"/>
    <w:basedOn w:val="Norml"/>
    <w:qFormat w:val="1"/>
    <w:pPr>
      <w:suppressLineNumbers w:val="1"/>
      <w:suppressAutoHyphens w:val="1"/>
      <w:spacing w:after="200" w:line="276" w:lineRule="auto"/>
    </w:pPr>
    <w:rPr>
      <w:rFonts w:cs="Arial" w:asciiTheme="minorHAnsi" w:eastAsiaTheme="minorEastAsia" w:hAnsiTheme="minorHAnsi"/>
      <w:sz w:val="22"/>
      <w:szCs w:val="22"/>
    </w:rPr>
  </w:style>
  <w:style w:type="paragraph" w:styleId="Gwkaistopka" w:customStyle="1">
    <w:name w:val="Główka i stopka"/>
    <w:basedOn w:val="Norml"/>
    <w:qFormat w:val="1"/>
    <w:pPr>
      <w:suppressAutoHyphens w:val="1"/>
      <w:spacing w:after="200" w:line="276" w:lineRule="auto"/>
    </w:pPr>
    <w:rPr>
      <w:rFonts w:asciiTheme="minorHAnsi" w:cstheme="minorBidi" w:eastAsiaTheme="minorEastAsia" w:hAnsiTheme="minorHAnsi"/>
      <w:sz w:val="22"/>
      <w:szCs w:val="22"/>
    </w:rPr>
  </w:style>
  <w:style w:type="paragraph" w:styleId="llb">
    <w:name w:val="footer"/>
    <w:basedOn w:val="Norml"/>
    <w:link w:val="llbChar"/>
    <w:uiPriority w:val="99"/>
    <w:unhideWhenUsed w:val="1"/>
    <w:rsid w:val="007428B0"/>
    <w:pPr>
      <w:tabs>
        <w:tab w:val="center" w:pos="4536"/>
        <w:tab w:val="right" w:pos="9072"/>
      </w:tabs>
      <w:suppressAutoHyphens w:val="1"/>
    </w:pPr>
    <w:rPr>
      <w:rFonts w:asciiTheme="minorHAnsi" w:cstheme="minorBidi" w:eastAsiaTheme="minorEastAsia" w:hAnsiTheme="minorHAnsi"/>
      <w:sz w:val="22"/>
      <w:szCs w:val="22"/>
    </w:rPr>
  </w:style>
  <w:style w:type="paragraph" w:styleId="Buborkszveg">
    <w:name w:val="Balloon Text"/>
    <w:basedOn w:val="Norml"/>
    <w:link w:val="BuborkszvegChar"/>
    <w:uiPriority w:val="99"/>
    <w:semiHidden w:val="1"/>
    <w:unhideWhenUsed w:val="1"/>
    <w:qFormat w:val="1"/>
    <w:rsid w:val="007428B0"/>
    <w:pPr>
      <w:suppressAutoHyphens w:val="1"/>
    </w:pPr>
    <w:rPr>
      <w:rFonts w:ascii="Tahoma" w:cs="Tahoma" w:hAnsi="Tahoma" w:eastAsiaTheme="minorEastAsia"/>
      <w:sz w:val="16"/>
      <w:szCs w:val="16"/>
    </w:rPr>
  </w:style>
  <w:style w:type="paragraph" w:styleId="NormlWeb">
    <w:name w:val="Normal (Web)"/>
    <w:basedOn w:val="Norml"/>
    <w:uiPriority w:val="99"/>
    <w:unhideWhenUsed w:val="1"/>
    <w:qFormat w:val="1"/>
    <w:rsid w:val="00C1228A"/>
    <w:pPr>
      <w:suppressAutoHyphens w:val="1"/>
      <w:spacing w:after="200" w:afterAutospacing="1" w:beforeAutospacing="1"/>
    </w:pPr>
  </w:style>
  <w:style w:type="paragraph" w:styleId="Listaszerbekezds">
    <w:name w:val="List Paragraph"/>
    <w:basedOn w:val="Norml"/>
    <w:uiPriority w:val="34"/>
    <w:qFormat w:val="1"/>
    <w:rsid w:val="00B01AF3"/>
    <w:pPr>
      <w:suppressAutoHyphens w:val="1"/>
      <w:spacing w:after="200" w:line="276" w:lineRule="auto"/>
      <w:ind w:left="720"/>
      <w:contextualSpacing w:val="1"/>
    </w:pPr>
    <w:rPr>
      <w:rFonts w:asciiTheme="minorHAnsi" w:cstheme="minorBidi" w:eastAsiaTheme="minorHAnsi" w:hAnsiTheme="minorHAnsi"/>
      <w:sz w:val="22"/>
      <w:szCs w:val="22"/>
      <w:lang w:eastAsia="en-US"/>
    </w:rPr>
  </w:style>
  <w:style w:type="paragraph" w:styleId="Lbjegyzetszveg">
    <w:name w:val="footnote text"/>
    <w:basedOn w:val="Norml"/>
    <w:link w:val="LbjegyzetszvegChar"/>
    <w:uiPriority w:val="99"/>
    <w:semiHidden w:val="1"/>
    <w:unhideWhenUsed w:val="1"/>
    <w:rsid w:val="00B01AF3"/>
    <w:pPr>
      <w:suppressAutoHyphens w:val="1"/>
    </w:pPr>
    <w:rPr>
      <w:rFonts w:asciiTheme="minorHAnsi" w:cstheme="minorBidi" w:eastAsiaTheme="minorHAnsi" w:hAnsiTheme="minorHAnsi"/>
      <w:sz w:val="20"/>
      <w:szCs w:val="20"/>
      <w:lang w:eastAsia="en-US"/>
    </w:rPr>
  </w:style>
  <w:style w:type="paragraph" w:styleId="Jegyzetszveg">
    <w:name w:val="annotation text"/>
    <w:basedOn w:val="Norml"/>
    <w:link w:val="JegyzetszvegChar"/>
    <w:uiPriority w:val="99"/>
    <w:unhideWhenUsed w:val="1"/>
    <w:qFormat w:val="1"/>
    <w:rsid w:val="00643993"/>
    <w:pPr>
      <w:suppressAutoHyphens w:val="1"/>
      <w:spacing w:after="200"/>
    </w:pPr>
    <w:rPr>
      <w:rFonts w:asciiTheme="minorHAnsi" w:cstheme="minorBidi" w:eastAsiaTheme="minorEastAsia" w:hAnsiTheme="minorHAnsi"/>
      <w:sz w:val="20"/>
      <w:szCs w:val="20"/>
    </w:rPr>
  </w:style>
  <w:style w:type="paragraph" w:styleId="Megjegyzstrgya">
    <w:name w:val="annotation subject"/>
    <w:basedOn w:val="Jegyzetszveg"/>
    <w:next w:val="Jegyzetszveg"/>
    <w:link w:val="MegjegyzstrgyaChar"/>
    <w:uiPriority w:val="99"/>
    <w:semiHidden w:val="1"/>
    <w:unhideWhenUsed w:val="1"/>
    <w:qFormat w:val="1"/>
    <w:rsid w:val="00643993"/>
    <w:rPr>
      <w:b w:val="1"/>
      <w:bCs w:val="1"/>
    </w:rPr>
  </w:style>
  <w:style w:type="paragraph" w:styleId="Vltozat">
    <w:name w:val="Revision"/>
    <w:uiPriority w:val="99"/>
    <w:semiHidden w:val="1"/>
    <w:qFormat w:val="1"/>
    <w:rsid w:val="00643993"/>
  </w:style>
  <w:style w:type="table" w:styleId="Rcsostblzat">
    <w:name w:val="Table Grid"/>
    <w:basedOn w:val="Normltblzat"/>
    <w:uiPriority w:val="39"/>
    <w:rsid w:val="007428B0"/>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character" w:styleId="Cmsor4Char" w:customStyle="1">
    <w:name w:val="Címsor 4 Char"/>
    <w:basedOn w:val="Bekezdsalapbettpusa"/>
    <w:link w:val="Cmsor4"/>
    <w:uiPriority w:val="9"/>
    <w:semiHidden w:val="1"/>
    <w:rsid w:val="00FE2EC4"/>
    <w:rPr>
      <w:rFonts w:asciiTheme="majorHAnsi" w:cstheme="majorBidi" w:eastAsiaTheme="majorEastAsia" w:hAnsiTheme="majorHAnsi"/>
      <w:i w:val="1"/>
      <w:iCs w:val="1"/>
      <w:color w:val="365f91" w:themeColor="accent1" w:themeShade="0000BF"/>
      <w:lang w:val="en-GB"/>
    </w:rPr>
  </w:style>
  <w:style w:type="character" w:styleId="Hiperhivatkozs">
    <w:name w:val="Hyperlink"/>
    <w:basedOn w:val="Bekezdsalapbettpusa"/>
    <w:uiPriority w:val="99"/>
    <w:unhideWhenUsed w:val="1"/>
    <w:rsid w:val="00EA3985"/>
    <w:rPr>
      <w:color w:val="0000ff" w:themeColor="hyperlink"/>
      <w:u w:val="single"/>
    </w:rPr>
  </w:style>
  <w:style w:type="character" w:styleId="Mrltotthiperhivatkozs">
    <w:name w:val="FollowedHyperlink"/>
    <w:basedOn w:val="Bekezdsalapbettpusa"/>
    <w:uiPriority w:val="99"/>
    <w:semiHidden w:val="1"/>
    <w:unhideWhenUsed w:val="1"/>
    <w:rsid w:val="004C314A"/>
    <w:rPr>
      <w:color w:val="800080" w:themeColor="followedHyperlink"/>
      <w:u w:val="single"/>
    </w:rPr>
  </w:style>
  <w:style w:type="character" w:styleId="author" w:customStyle="1">
    <w:name w:val="author"/>
    <w:basedOn w:val="Bekezdsalapbettpusa"/>
    <w:rsid w:val="00FB26CF"/>
  </w:style>
  <w:style w:type="character" w:styleId="a-color-secondary" w:customStyle="1">
    <w:name w:val="a-color-secondary"/>
    <w:basedOn w:val="Bekezdsalapbettpusa"/>
    <w:rsid w:val="00FB26CF"/>
  </w:style>
  <w:style w:type="paragraph" w:styleId="Alcm">
    <w:name w:val="Subtitle"/>
    <w:basedOn w:val="Norml"/>
    <w:next w:val="Norm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08.0" w:type="dxa"/>
        <w:right w:w="108.0" w:type="dxa"/>
      </w:tblCellMar>
    </w:tblPr>
  </w:style>
  <w:style w:type="table" w:styleId="a0" w:customStyle="1">
    <w:basedOn w:val="TableNormal"/>
    <w:tblPr>
      <w:tblStyleRowBandSize w:val="1"/>
      <w:tblStyleColBandSize w:val="1"/>
      <w:tblCellMar>
        <w:left w:w="108.0" w:type="dxa"/>
        <w:right w:w="108.0" w:type="dxa"/>
      </w:tblCellMar>
    </w:tblPr>
  </w:style>
  <w:style w:type="table" w:styleId="a1" w:customStyle="1">
    <w:basedOn w:val="TableNormal"/>
    <w:tblPr>
      <w:tblStyleRowBandSize w:val="1"/>
      <w:tblStyleColBandSize w:val="1"/>
      <w:tblCellMar>
        <w:left w:w="108.0" w:type="dxa"/>
        <w:right w:w="108.0" w:type="dxa"/>
      </w:tblCellMar>
    </w:tblPr>
  </w:style>
  <w:style w:type="table" w:styleId="a2" w:customStyle="1">
    <w:basedOn w:val="TableNormal"/>
    <w:tblPr>
      <w:tblStyleRowBandSize w:val="1"/>
      <w:tblStyleColBandSize w:val="1"/>
      <w:tblCellMar>
        <w:left w:w="108.0" w:type="dxa"/>
        <w:right w:w="108.0" w:type="dxa"/>
      </w:tblCellMar>
    </w:tblPr>
  </w:style>
  <w:style w:type="table" w:styleId="a3" w:customStyle="1">
    <w:basedOn w:val="TableNormal"/>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equityhealthj.biomedcentral.com/articles/10.1186/s12939-016-0379-8" TargetMode="External"/><Relationship Id="rId10" Type="http://schemas.openxmlformats.org/officeDocument/2006/relationships/hyperlink" Target="https://www.bbc.com/worklife/article/20220426-could-menstrual-leave-change-the-workplace" TargetMode="External"/><Relationship Id="rId13" Type="http://schemas.openxmlformats.org/officeDocument/2006/relationships/header" Target="header1.xml"/><Relationship Id="rId12" Type="http://schemas.openxmlformats.org/officeDocument/2006/relationships/hyperlink" Target="https://www.hrzone.com/perform/people/its-time-to-address-menstruation-in-the-workplace-perio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ho.int/news/item/22-06-2022-who-statement-on-menstrual-health-and-right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y.clevelandclinic.org/health/articles/10132-normal-menstruation" TargetMode="External"/><Relationship Id="rId8" Type="http://schemas.openxmlformats.org/officeDocument/2006/relationships/hyperlink" Target="https://www.yourperiod.ca/normal-periods/menstrual-cycle-basic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nstantia-regular.ttf"/><Relationship Id="rId2" Type="http://schemas.openxmlformats.org/officeDocument/2006/relationships/font" Target="fonts/Constantia-bold.ttf"/><Relationship Id="rId3" Type="http://schemas.openxmlformats.org/officeDocument/2006/relationships/font" Target="fonts/Constantia-italic.ttf"/><Relationship Id="rId4" Type="http://schemas.openxmlformats.org/officeDocument/2006/relationships/font" Target="fonts/Constanti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MMNxKB056ULWm2SCOlRGOLAMQg==">CgMxLjA4AGpYCjVzdWdnZXN0SWRJbXBvcnQzMDk2NjQyOC1mNGJkLTQ4NzEtODc0Zi00YjEzMjZkMGFlMDBfMxIfRHIuIFNvbHltb3NpLVN6ZWtlcmVzIEJlcm5hZGV0dHIhMW1VSEdGZzhHRU5VWjZhUjJUbUhVaHpJQkFRM1czY3Zq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2022-10-09T19:15:00Z</dcterms:created>
  <dc:creator>Dell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